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1"/>
        </w:rPr>
      </w:pPr>
    </w:p>
    <w:p>
      <w:pPr>
        <w:spacing w:before="84"/>
        <w:ind w:left="2523" w:right="0" w:firstLine="0"/>
        <w:jc w:val="left"/>
        <w:rPr>
          <w:b/>
          <w:sz w:val="40"/>
        </w:rPr>
      </w:pPr>
      <w:r>
        <w:rPr>
          <w:b/>
          <w:sz w:val="40"/>
        </w:rPr>
        <w:t>John M. Breckenridge, Jr.</w:t>
      </w:r>
    </w:p>
    <w:p>
      <w:pPr>
        <w:spacing w:before="0"/>
        <w:ind w:left="859" w:right="700" w:firstLine="0"/>
        <w:jc w:val="center"/>
        <w:rPr>
          <w:b/>
          <w:sz w:val="28"/>
        </w:rPr>
      </w:pPr>
      <w:r>
        <w:rPr>
          <w:b/>
          <w:sz w:val="28"/>
        </w:rPr>
        <w:t>(1946-1999)</w:t>
      </w:r>
    </w:p>
    <w:p>
      <w:pPr>
        <w:pStyle w:val="BodyText"/>
        <w:spacing w:before="10"/>
        <w:rPr>
          <w:b/>
          <w:sz w:val="23"/>
        </w:rPr>
      </w:pPr>
    </w:p>
    <w:p>
      <w:pPr>
        <w:spacing w:before="0"/>
        <w:ind w:left="860" w:right="700" w:firstLine="0"/>
        <w:jc w:val="center"/>
        <w:rPr>
          <w:b/>
          <w:i/>
          <w:sz w:val="24"/>
        </w:rPr>
      </w:pPr>
      <w:r>
        <w:rPr>
          <w:b/>
          <w:i/>
          <w:sz w:val="24"/>
        </w:rPr>
        <w:t>Inaugural Inductee into the Labor and Employment Law Section Hall of Fame </w:t>
      </w:r>
      <w:r>
        <w:rPr>
          <w:b/>
          <w:i/>
          <w:sz w:val="24"/>
        </w:rPr>
        <w:t>June 2012</w:t>
      </w:r>
    </w:p>
    <w:p>
      <w:pPr>
        <w:pStyle w:val="BodyText"/>
        <w:spacing w:before="7"/>
        <w:rPr>
          <w:b/>
          <w:i/>
          <w:sz w:val="23"/>
        </w:rPr>
      </w:pPr>
    </w:p>
    <w:p>
      <w:pPr>
        <w:pStyle w:val="BodyText"/>
        <w:ind w:left="100" w:right="116"/>
      </w:pPr>
      <w:r>
        <w:rPr>
          <w:color w:val="303030"/>
        </w:rPr>
        <w:t>John M. Breckenridge, Jr. (1946-1999) practiced labor and employment law since receiving his law degree from the University of Alabama School of Law in 1972. Breckenridge enjoyed an</w:t>
      </w:r>
    </w:p>
    <w:p>
      <w:pPr>
        <w:pStyle w:val="BodyText"/>
        <w:ind w:left="100" w:right="89"/>
      </w:pPr>
      <w:r>
        <w:rPr>
          <w:color w:val="303030"/>
        </w:rPr>
        <w:t>A.V. rating from Martindale Hubbell and defended the interests of management in state and federal administrative proceedings and at all levels of state and federal court, including the U.S. Supreme Court.</w:t>
      </w:r>
    </w:p>
    <w:p>
      <w:pPr>
        <w:pStyle w:val="BodyText"/>
      </w:pPr>
    </w:p>
    <w:p>
      <w:pPr>
        <w:pStyle w:val="BodyText"/>
        <w:ind w:left="100" w:right="389"/>
      </w:pPr>
      <w:r>
        <w:rPr>
          <w:color w:val="303030"/>
        </w:rPr>
        <w:t>Before heading the Breckenridge Group, a labor and employment law and consulting firm in Tampa Florida, John had been with both </w:t>
      </w:r>
      <w:r>
        <w:rPr>
          <w:color w:val="202020"/>
        </w:rPr>
        <w:t>Greene, Mann, Rowe, Stanton, Mastry &amp; Burton, Greene, Mann, Rowe, Stanton, Mastry &amp; Burton, and Alley &amp; Alley, Chartered</w:t>
      </w:r>
      <w:r>
        <w:rPr>
          <w:color w:val="303030"/>
        </w:rPr>
        <w:t>.</w:t>
      </w:r>
    </w:p>
    <w:p>
      <w:pPr>
        <w:pStyle w:val="BodyText"/>
      </w:pPr>
    </w:p>
    <w:p>
      <w:pPr>
        <w:pStyle w:val="BodyText"/>
        <w:ind w:left="100" w:right="75"/>
      </w:pPr>
      <w:r>
        <w:rPr>
          <w:color w:val="303030"/>
        </w:rPr>
        <w:t>Breckenridge was a well-known figure in the Labor and Employment Law Section and litigated numerous labor and employment cases throughout his career. The PERC Reporter is replete with cases showing his long representation of Hillsborough Community College. John also is shown as counsel of record in numerous federal court cases involving discrimination and employment law.</w:t>
      </w:r>
    </w:p>
    <w:sectPr>
      <w:type w:val="continuous"/>
      <w:pgSz w:w="12240" w:h="15840"/>
      <w:pgMar w:top="1500" w:bottom="280" w:left="13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2019-04-03T15:20:46Z</dcterms:created>
  <dcterms:modified xsi:type="dcterms:W3CDTF">2019-04-03T15:20:46Z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